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Application>Microsoft Office Word</Application>
  <Company>TradeFlow</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TradeFlow Pricing Policy - Service and Install</dc:title>
  <dc:subject>Pricing Policy</dc:subject>
  <dc:creator>OpenAI Codex</dc:creator>
  <dc:description>Business-facing pricing policy for TradeFlow service and install pricing.</dc:description>
  <cp:lastModifiedBy>OpenAI Codex</cp:lastModifiedBy>
  <dcterms:created xsi:type="dcterms:W3CDTF">2026-04-30T20:15:00Z</dcterms:created>
  <dcterms:modified xsi:type="dcterms:W3CDTF">2026-04-30T20:15:00Z</dcterms:modified>
</cp:coreProperties>
</file>

<file path=word\document.xml><?xml version="1.0" encoding="utf-8"?>
<w:document xmlns:w="http://schemas.openxmlformats.org/wordprocessingml/2006/main">
  <w:body>
    <w:p>
      <w:pPr>
        <w:jc w:val="center"/>
        <w:spacing w:before="0" w:after="60" w:line="276" w:lineRule="auto"/>
      </w:pPr>
      <w:r>
        <w:rPr>
          <w:rFonts w:ascii="Arial" w:hAnsi="Arial"/>
          <w:sz w:val="32"/>
          <w:szCs w:val="32"/>
          <w:color w:val="163A63"/>
          <w:b/>
        </w:rPr>
        <w:t xml:space="preserve">TradeFlow Pricing Policy</w:t>
      </w:r>
    </w:p>
    <w:p>
      <w:pPr>
        <w:jc w:val="center"/>
        <w:spacing w:before="0" w:after="40" w:line="276" w:lineRule="auto"/>
      </w:pPr>
      <w:r>
        <w:rPr>
          <w:rFonts w:ascii="Arial" w:hAnsi="Arial"/>
          <w:sz w:val="24"/>
          <w:szCs w:val="24"/>
          <w:color w:val="4472C4"/>
          <w:b/>
        </w:rPr>
        <w:t xml:space="preserve">Service and Install Pricing Framework</w:t>
      </w:r>
    </w:p>
    <w:p>
      <w:pPr>
        <w:jc w:val="center"/>
        <w:spacing w:before="0" w:after="220" w:line="276" w:lineRule="auto"/>
      </w:pPr>
      <w:r>
        <w:rPr>
          <w:rFonts w:ascii="Arial" w:hAnsi="Arial"/>
          <w:sz w:val="20"/>
          <w:szCs w:val="20"/>
          <w:color w:val="6B7280"/>
        </w:rPr>
        <w:t xml:space="preserve">Effective Date: April 30, 2026</w:t>
      </w:r>
    </w:p>
    <w:p>
      <w:pPr>
        <w:jc w:val="left"/>
        <w:spacing w:before="40" w:after="80" w:line="276" w:lineRule="auto"/>
      </w:pPr>
      <w:r>
        <w:rPr>
          <w:rFonts w:ascii="Arial" w:hAnsi="Arial"/>
          <w:sz w:val="24"/>
          <w:szCs w:val="24"/>
          <w:color w:val="163A63"/>
          <w:b/>
        </w:rPr>
        <w:t xml:space="preserve">Purpose</w:t>
      </w:r>
    </w:p>
    <w:tbl>
      <w:tblPr>
        <w:tblW w:w="0" w:type="auto"/>
        <w:tblLayout w:type="fixed"/>
        <w:tblBorders>
          <w:top w:val="single" w:sz="10" w:space="0" w:color="D0D7E2"/>
          <w:left w:val="single" w:sz="10" w:space="0" w:color="D0D7E2"/>
          <w:bottom w:val="single" w:sz="10" w:space="0" w:color="D0D7E2"/>
          <w:right w:val="single" w:sz="10" w:space="0" w:color="D0D7E2"/>
          <w:insideH w:val="nil"/>
          <w:insideV w:val="nil"/>
        </w:tblBorders>
        <w:tblCellMar>
          <w:top w:w="120" w:type="dxa"/>
          <w:left w:w="140" w:type="dxa"/>
          <w:bottom w:w="120" w:type="dxa"/>
          <w:right w:w="140" w:type="dxa"/>
        </w:tblCellMar>
      </w:tblPr>
      <w:tblGrid>
        <w:gridCol w:w="10080"/>
      </w:tblGrid>
      <w:tr>
        <w:tc>
          <w:tcPr>
            <w:tcW w:w="10080" w:type="dxa"/>
            <w:shd w:val="clear" w:color="auto" w:fill="EEF3F8"/>
          </w:tcPr>
          <w:p>
            <w:pPr>
              <w:jc w:val="left"/>
              <w:spacing w:before="0" w:after="60" w:line="276" w:lineRule="auto"/>
            </w:pPr>
            <w:r>
              <w:rPr>
                <w:rFonts w:ascii="Arial" w:hAnsi="Arial"/>
                <w:sz w:val="22"/>
                <w:szCs w:val="22"/>
                <w:color w:val="222222"/>
              </w:rPr>
              <w:t xml:space="preserve">This pricing policy defines how TradeFlow should price service work, equipment sales, and change-out or install projects going forward.</w:t>
            </w:r>
          </w:p>
          <w:p>
            <w:pPr>
              <w:jc w:val="left"/>
              <w:spacing w:before="0" w:after="0" w:line="276" w:lineRule="auto"/>
            </w:pPr>
            <w:r>
              <w:rPr>
                <w:rFonts w:ascii="Arial" w:hAnsi="Arial"/>
                <w:sz w:val="22"/>
                <w:szCs w:val="22"/>
                <w:color w:val="222222"/>
              </w:rPr>
              <w:t xml:space="preserve">The goal is to create one consistent business pricing scheme that protects margin, keeps pricing explainable, and allows management to adjust labor, overhead, and markup rules without rebuilding the entire workflow.</w:t>
            </w:r>
          </w:p>
        </w:tc>
      </w:tr>
    </w:tbl>
    <w:p>
      <w:pPr>
        <w:spacing w:after="120"/>
      </w:pPr>
    </w:p>
    <w:p>
      <w:pPr>
        <w:jc w:val="left"/>
        <w:spacing w:before="40" w:after="80" w:line="276" w:lineRule="auto"/>
      </w:pPr>
      <w:r>
        <w:rPr>
          <w:rFonts w:ascii="Arial" w:hAnsi="Arial"/>
          <w:sz w:val="24"/>
          <w:szCs w:val="24"/>
          <w:color w:val="163A63"/>
          <w:b/>
        </w:rPr>
        <w:t xml:space="preserve">Scope</w:t>
      </w:r>
    </w:p>
    <w:p>
      <w:pPr>
        <w:jc w:val="left"/>
        <w:spacing w:before="0" w:after="40" w:line="276" w:lineRule="auto"/>
      </w:pPr>
      <w:r>
        <w:rPr>
          <w:rFonts w:ascii="Arial" w:hAnsi="Arial"/>
          <w:sz w:val="22"/>
          <w:szCs w:val="22"/>
          <w:color w:val="222222"/>
        </w:rPr>
        <w:t xml:space="preserve">- Service pricing</w:t>
      </w:r>
    </w:p>
    <w:p>
      <w:pPr>
        <w:jc w:val="left"/>
        <w:spacing w:before="0" w:after="40" w:line="276" w:lineRule="auto"/>
      </w:pPr>
      <w:r>
        <w:rPr>
          <w:rFonts w:ascii="Arial" w:hAnsi="Arial"/>
          <w:sz w:val="22"/>
          <w:szCs w:val="22"/>
          <w:color w:val="222222"/>
        </w:rPr>
        <w:t xml:space="preserve">- Equipment pricing</w:t>
      </w:r>
    </w:p>
    <w:p>
      <w:pPr>
        <w:jc w:val="left"/>
        <w:spacing w:before="0" w:after="40" w:line="276" w:lineRule="auto"/>
      </w:pPr>
      <w:r>
        <w:rPr>
          <w:rFonts w:ascii="Arial" w:hAnsi="Arial"/>
          <w:sz w:val="22"/>
          <w:szCs w:val="22"/>
          <w:color w:val="222222"/>
        </w:rPr>
        <w:t xml:space="preserve">- Change-out and install pricing</w:t>
      </w:r>
    </w:p>
    <w:p>
      <w:pPr>
        <w:jc w:val="left"/>
        <w:spacing w:before="0" w:after="40" w:line="276" w:lineRule="auto"/>
      </w:pPr>
      <w:r>
        <w:rPr>
          <w:rFonts w:ascii="Arial" w:hAnsi="Arial"/>
          <w:sz w:val="22"/>
          <w:szCs w:val="22"/>
          <w:color w:val="222222"/>
        </w:rPr>
        <w:t xml:space="preserve">- Flat-rate and cost-plus service pricing</w:t>
      </w:r>
    </w:p>
    <w:p>
      <w:pPr>
        <w:jc w:val="left"/>
        <w:spacing w:before="0" w:after="40" w:line="276" w:lineRule="auto"/>
      </w:pPr>
      <w:r>
        <w:rPr>
          <w:rFonts w:ascii="Arial" w:hAnsi="Arial"/>
          <w:sz w:val="22"/>
          <w:szCs w:val="22"/>
          <w:color w:val="222222"/>
        </w:rPr>
        <w:t xml:space="preserve">It does not establish a per-item markup policy for rough-in jobs.</w:t>
      </w:r>
    </w:p>
    <w:p>
      <w:pPr>
        <w:jc w:val="left"/>
        <w:spacing w:before="60" w:after="80" w:line="276" w:lineRule="auto"/>
      </w:pPr>
      <w:r>
        <w:rPr>
          <w:rFonts w:ascii="Arial" w:hAnsi="Arial"/>
          <w:sz w:val="24"/>
          <w:szCs w:val="24"/>
          <w:color w:val="163A63"/>
          <w:b/>
        </w:rPr>
        <w:t xml:space="preserve">Core Pricing Principles</w:t>
      </w:r>
    </w:p>
    <w:p>
      <w:pPr>
        <w:jc w:val="left"/>
        <w:spacing w:before="0" w:after="40" w:line="276" w:lineRule="auto"/>
      </w:pPr>
      <w:r>
        <w:rPr>
          <w:rFonts w:ascii="Arial" w:hAnsi="Arial"/>
          <w:sz w:val="22"/>
          <w:szCs w:val="22"/>
          <w:color w:val="222222"/>
        </w:rPr>
        <w:t xml:space="preserve">- Supplier or catalog cost is the starting point, not the final customer price.</w:t>
      </w:r>
    </w:p>
    <w:p>
      <w:pPr>
        <w:jc w:val="left"/>
        <w:spacing w:before="0" w:after="40" w:line="276" w:lineRule="auto"/>
      </w:pPr>
      <w:r>
        <w:rPr>
          <w:rFonts w:ascii="Arial" w:hAnsi="Arial"/>
          <w:sz w:val="22"/>
          <w:szCs w:val="22"/>
          <w:color w:val="222222"/>
        </w:rPr>
        <w:t xml:space="preserve">- Cost and sell price must be tracked separately.</w:t>
      </w:r>
    </w:p>
    <w:p>
      <w:pPr>
        <w:jc w:val="left"/>
        <w:spacing w:before="0" w:after="40" w:line="276" w:lineRule="auto"/>
      </w:pPr>
      <w:r>
        <w:rPr>
          <w:rFonts w:ascii="Arial" w:hAnsi="Arial"/>
          <w:sz w:val="22"/>
          <w:szCs w:val="22"/>
          <w:color w:val="222222"/>
        </w:rPr>
        <w:t xml:space="preserve">- Pricing rules should live in one centralized configuration.</w:t>
      </w:r>
    </w:p>
    <w:p>
      <w:pPr>
        <w:jc w:val="left"/>
        <w:spacing w:before="0" w:after="40" w:line="276" w:lineRule="auto"/>
      </w:pPr>
      <w:r>
        <w:rPr>
          <w:rFonts w:ascii="Arial" w:hAnsi="Arial"/>
          <w:sz w:val="22"/>
          <w:szCs w:val="22"/>
          <w:color w:val="222222"/>
        </w:rPr>
        <w:t xml:space="preserve">- Historical jobs are snapshots and should not be silently repriced.</w:t>
      </w:r>
    </w:p>
    <w:p>
      <w:pPr>
        <w:jc w:val="left"/>
        <w:spacing w:before="0" w:after="40" w:line="276" w:lineRule="auto"/>
      </w:pPr>
      <w:r>
        <w:rPr>
          <w:rFonts w:ascii="Arial" w:hAnsi="Arial"/>
          <w:sz w:val="22"/>
          <w:szCs w:val="22"/>
          <w:color w:val="222222"/>
        </w:rPr>
        <w:t xml:space="preserve">- Repricing should only happen intentionally.</w:t>
      </w:r>
    </w:p>
    <w:p>
      <w:pPr>
        <w:jc w:val="left"/>
        <w:spacing w:before="0" w:after="40" w:line="276" w:lineRule="auto"/>
      </w:pPr>
      <w:r>
        <w:rPr>
          <w:rFonts w:ascii="Arial" w:hAnsi="Arial"/>
          <w:sz w:val="22"/>
          <w:szCs w:val="22"/>
          <w:color w:val="222222"/>
        </w:rPr>
        <w:t xml:space="preserve">- Management should be able to tune the system by changing labor, overhead, margin, and markup assumptions instead of rewriting workflow logic.</w:t>
      </w:r>
    </w:p>
    <w:p>
      <w:pPr>
        <w:jc w:val="left"/>
        <w:spacing w:before="60" w:after="80" w:line="276" w:lineRule="auto"/>
      </w:pPr>
      <w:r>
        <w:rPr>
          <w:rFonts w:ascii="Arial" w:hAnsi="Arial"/>
          <w:sz w:val="24"/>
          <w:szCs w:val="24"/>
          <w:color w:val="163A63"/>
          <w:b/>
        </w:rPr>
        <w:t xml:space="preserve">Standard Pricing Inputs</w:t>
      </w:r>
    </w:p>
    <w:tbl>
      <w:tblPr>
        <w:tblW w:w="0" w:type="auto"/>
        <w:tblLayout w:type="fixed"/>
        <w:tblBorders>
          <w:top w:val="single" w:sz="10" w:space="0" w:color="D0D7E2"/>
          <w:left w:val="single" w:sz="10" w:space="0" w:color="D0D7E2"/>
          <w:bottom w:val="single" w:sz="10" w:space="0" w:color="D0D7E2"/>
          <w:right w:val="single" w:sz="10" w:space="0" w:color="D0D7E2"/>
          <w:insideH w:val="nil"/>
          <w:insideV w:val="nil"/>
        </w:tblBorders>
        <w:tblCellMar>
          <w:top w:w="120" w:type="dxa"/>
          <w:left w:w="140" w:type="dxa"/>
          <w:bottom w:w="120" w:type="dxa"/>
          <w:right w:w="140" w:type="dxa"/>
        </w:tblCellMar>
      </w:tblPr>
      <w:tblGrid>
        <w:gridCol w:w="10080"/>
      </w:tblGrid>
      <w:tr>
        <w:tc>
          <w:tcPr>
            <w:tcW w:w="10080" w:type="dxa"/>
            <w:shd w:val="clear" w:color="auto" w:fill="F3F6FA"/>
          </w:tcPr>
          <w:p>
            <w:pPr>
              <w:jc w:val="left"/>
              <w:spacing w:before="0" w:after="40" w:line="276" w:lineRule="auto"/>
            </w:pPr>
            <w:r>
              <w:rPr>
                <w:rFonts w:ascii="Arial" w:hAnsi="Arial"/>
                <w:sz w:val="22"/>
                <w:szCs w:val="22"/>
                <w:color w:val="222222"/>
              </w:rPr>
              <w:t xml:space="preserve">Labor Rate: $95/hr - Loaded hourly labor cost used for install and project pricing.</w:t>
            </w:r>
          </w:p>
          <w:p>
            <w:pPr>
              <w:jc w:val="left"/>
              <w:spacing w:before="0" w:after="40" w:line="276" w:lineRule="auto"/>
            </w:pPr>
            <w:r>
              <w:rPr>
                <w:rFonts w:ascii="Arial" w:hAnsi="Arial"/>
                <w:sz w:val="22"/>
                <w:szCs w:val="22"/>
                <w:color w:val="222222"/>
              </w:rPr>
              <w:t xml:space="preserve">Subcontractor Rate: To be set - Reserved for outside labor or specialty subcontract work.</w:t>
            </w:r>
          </w:p>
          <w:p>
            <w:pPr>
              <w:jc w:val="left"/>
              <w:spacing w:before="0" w:after="40" w:line="276" w:lineRule="auto"/>
            </w:pPr>
            <w:r>
              <w:rPr>
                <w:rFonts w:ascii="Arial" w:hAnsi="Arial"/>
                <w:sz w:val="22"/>
                <w:szCs w:val="22"/>
                <w:color w:val="222222"/>
              </w:rPr>
              <w:t xml:space="preserve">Overhead Per Job: $175 - Per-job overhead allocation representing administrative and operating burden.</w:t>
            </w:r>
          </w:p>
          <w:p>
            <w:pPr>
              <w:jc w:val="left"/>
              <w:spacing w:before="0" w:after="40" w:line="276" w:lineRule="auto"/>
            </w:pPr>
            <w:r>
              <w:rPr>
                <w:rFonts w:ascii="Arial" w:hAnsi="Arial"/>
                <w:sz w:val="22"/>
                <w:szCs w:val="22"/>
                <w:color w:val="222222"/>
              </w:rPr>
              <w:t xml:space="preserve">Target Gross Margin: 52% - Margin target used when grossing up larger install or project work.</w:t>
            </w:r>
          </w:p>
        </w:tc>
      </w:tr>
    </w:tbl>
    <w:p>
      <w:pPr>
        <w:spacing w:after="120"/>
      </w:pPr>
    </w:p>
    <w:p>
      <w:pPr>
        <w:jc w:val="left"/>
        <w:spacing w:before="60" w:after="80" w:line="276" w:lineRule="auto"/>
      </w:pPr>
      <w:r>
        <w:rPr>
          <w:rFonts w:ascii="Arial" w:hAnsi="Arial"/>
          <w:sz w:val="24"/>
          <w:szCs w:val="24"/>
          <w:color w:val="163A63"/>
          <w:b/>
        </w:rPr>
        <w:t xml:space="preserve">Markup Structure</w:t>
      </w:r>
    </w:p>
    <w:p>
      <w:pPr>
        <w:jc w:val="left"/>
        <w:spacing w:before="0" w:after="100" w:line="276" w:lineRule="auto"/>
      </w:pPr>
      <w:r>
        <w:rPr>
          <w:rFonts w:ascii="Arial" w:hAnsi="Arial"/>
          <w:sz w:val="22"/>
          <w:szCs w:val="22"/>
          <w:color w:val="222222"/>
        </w:rPr>
        <w:t xml:space="preserve">TradeFlow should resolve markup in a fixed order: category markup first, price-tier fallback second, and default markup last.</w:t>
      </w:r>
    </w:p>
    <w:p>
      <w:pPr>
        <w:jc w:val="left"/>
        <w:spacing w:before="0" w:after="60" w:line="276" w:lineRule="auto"/>
      </w:pPr>
      <w:r>
        <w:rPr>
          <w:rFonts w:ascii="Arial" w:hAnsi="Arial"/>
          <w:sz w:val="22"/>
          <w:szCs w:val="22"/>
          <w:color w:val="4472C4"/>
          <w:b/>
        </w:rPr>
        <w:t xml:space="preserve">Category Markup Rules</w:t>
      </w:r>
    </w:p>
    <w:p>
      <w:pPr>
        <w:jc w:val="left"/>
        <w:spacing w:before="0" w:after="40" w:line="276" w:lineRule="auto"/>
      </w:pPr>
      <w:r>
        <w:rPr>
          <w:rFonts w:ascii="Arial" w:hAnsi="Arial"/>
          <w:sz w:val="22"/>
          <w:szCs w:val="22"/>
          <w:color w:val="222222"/>
        </w:rPr>
        <w:t xml:space="preserve">Equipment - 1.40x: Condensers, furnaces, coils, air handlers, package units, and equipment catalog items.</w:t>
      </w:r>
    </w:p>
    <w:p>
      <w:pPr>
        <w:jc w:val="left"/>
        <w:spacing w:before="0" w:after="40" w:line="276" w:lineRule="auto"/>
      </w:pPr>
      <w:r>
        <w:rPr>
          <w:rFonts w:ascii="Arial" w:hAnsi="Arial"/>
          <w:sz w:val="22"/>
          <w:szCs w:val="22"/>
          <w:color w:val="222222"/>
        </w:rPr>
        <w:t xml:space="preserve">Small Parts - 2.20x: Service replacement parts such as capacitors, contactors, switches, boards, valves, sensors, and motors.</w:t>
      </w:r>
    </w:p>
    <w:p>
      <w:pPr>
        <w:jc w:val="left"/>
        <w:spacing w:before="0" w:after="40" w:line="276" w:lineRule="auto"/>
      </w:pPr>
      <w:r>
        <w:rPr>
          <w:rFonts w:ascii="Arial" w:hAnsi="Arial"/>
          <w:sz w:val="22"/>
          <w:szCs w:val="22"/>
          <w:color w:val="222222"/>
        </w:rPr>
        <w:t xml:space="preserve">Consumables - 1.70x: Tape, mastic, silicone, fire foam, brushes, and similar consumable items.</w:t>
      </w:r>
    </w:p>
    <w:p>
      <w:pPr>
        <w:jc w:val="left"/>
        <w:spacing w:before="0" w:after="40" w:line="276" w:lineRule="auto"/>
      </w:pPr>
      <w:r>
        <w:rPr>
          <w:rFonts w:ascii="Arial" w:hAnsi="Arial"/>
          <w:sz w:val="22"/>
          <w:szCs w:val="22"/>
          <w:color w:val="222222"/>
        </w:rPr>
        <w:t xml:space="preserve">Ductwork - 1.65x: Accessories tied to install or equipment completion when priced separately.</w:t>
      </w:r>
    </w:p>
    <w:p>
      <w:pPr>
        <w:jc w:val="left"/>
        <w:spacing w:before="0" w:after="40" w:line="276" w:lineRule="auto"/>
      </w:pPr>
      <w:r>
        <w:rPr>
          <w:rFonts w:ascii="Arial" w:hAnsi="Arial"/>
          <w:sz w:val="22"/>
          <w:szCs w:val="22"/>
          <w:color w:val="222222"/>
        </w:rPr>
        <w:t xml:space="preserve">Venting - 1.65x: Vent accessories and vent-related fittings tied to service or install scope.</w:t>
      </w:r>
    </w:p>
    <w:p>
      <w:pPr>
        <w:jc w:val="left"/>
        <w:spacing w:before="0" w:after="40" w:line="276" w:lineRule="auto"/>
      </w:pPr>
      <w:r>
        <w:rPr>
          <w:rFonts w:ascii="Arial" w:hAnsi="Arial"/>
          <w:sz w:val="22"/>
          <w:szCs w:val="22"/>
          <w:color w:val="222222"/>
        </w:rPr>
        <w:t xml:space="preserve">Drain - 1.80x: Drain-related accessories and condensate-related material when sold outside flat-rate scope.</w:t>
      </w:r>
    </w:p>
    <w:p>
      <w:pPr>
        <w:jc w:val="left"/>
        <w:spacing w:before="40" w:after="60" w:line="276" w:lineRule="auto"/>
      </w:pPr>
      <w:r>
        <w:rPr>
          <w:rFonts w:ascii="Arial" w:hAnsi="Arial"/>
          <w:sz w:val="22"/>
          <w:szCs w:val="22"/>
          <w:color w:val="4472C4"/>
          <w:b/>
        </w:rPr>
        <w:t xml:space="preserve">Price-Tier Fallback Rules</w:t>
      </w:r>
    </w:p>
    <w:p>
      <w:pPr>
        <w:jc w:val="left"/>
        <w:spacing w:before="0" w:after="40" w:line="276" w:lineRule="auto"/>
      </w:pPr>
      <w:r>
        <w:rPr>
          <w:rFonts w:ascii="Arial" w:hAnsi="Arial"/>
          <w:sz w:val="22"/>
          <w:szCs w:val="22"/>
          <w:color w:val="222222"/>
        </w:rPr>
        <w:t xml:space="preserve">Under $50 - 2.50x: Default protection for low-cost items when no category rule applies.</w:t>
      </w:r>
    </w:p>
    <w:p>
      <w:pPr>
        <w:jc w:val="left"/>
        <w:spacing w:before="0" w:after="40" w:line="276" w:lineRule="auto"/>
      </w:pPr>
      <w:r>
        <w:rPr>
          <w:rFonts w:ascii="Arial" w:hAnsi="Arial"/>
          <w:sz w:val="22"/>
          <w:szCs w:val="22"/>
          <w:color w:val="222222"/>
        </w:rPr>
        <w:t xml:space="preserve">$50 to $500 - 2.00x: Fallback for mid-range items lacking a category rule.</w:t>
      </w:r>
    </w:p>
    <w:p>
      <w:pPr>
        <w:jc w:val="left"/>
        <w:spacing w:before="0" w:after="40" w:line="276" w:lineRule="auto"/>
      </w:pPr>
      <w:r>
        <w:rPr>
          <w:rFonts w:ascii="Arial" w:hAnsi="Arial"/>
          <w:sz w:val="22"/>
          <w:szCs w:val="22"/>
          <w:color w:val="222222"/>
        </w:rPr>
        <w:t xml:space="preserve">Over $500 - 1.50x: Fallback for higher-cost items where margin is still protected without overinflating price.</w:t>
      </w:r>
    </w:p>
    <w:p>
      <w:pPr>
        <w:jc w:val="left"/>
        <w:spacing w:before="0" w:after="40" w:line="276" w:lineRule="auto"/>
      </w:pPr>
      <w:r>
        <w:rPr>
          <w:rFonts w:ascii="Arial" w:hAnsi="Arial"/>
          <w:sz w:val="22"/>
          <w:szCs w:val="22"/>
          <w:color w:val="222222"/>
        </w:rPr>
        <w:t xml:space="preserve">Default - 1.75x: Final fallback if no other rule applies.</w:t>
      </w:r>
    </w:p>
    <w:p>
      <w:pPr>
        <w:jc w:val="left"/>
        <w:spacing w:before="60" w:after="80" w:line="276" w:lineRule="auto"/>
      </w:pPr>
      <w:r>
        <w:rPr>
          <w:rFonts w:ascii="Arial" w:hAnsi="Arial"/>
          <w:sz w:val="24"/>
          <w:szCs w:val="24"/>
          <w:color w:val="163A63"/>
          <w:b/>
        </w:rPr>
        <w:t xml:space="preserve">Service Pricing Policy</w:t>
      </w:r>
    </w:p>
    <w:tbl>
      <w:tblPr>
        <w:tblW w:w="0" w:type="auto"/>
        <w:tblLayout w:type="fixed"/>
        <w:tblBorders>
          <w:top w:val="single" w:sz="10" w:space="0" w:color="D0D7E2"/>
          <w:left w:val="single" w:sz="10" w:space="0" w:color="D0D7E2"/>
          <w:bottom w:val="single" w:sz="10" w:space="0" w:color="D0D7E2"/>
          <w:right w:val="single" w:sz="10" w:space="0" w:color="D0D7E2"/>
          <w:insideH w:val="nil"/>
          <w:insideV w:val="nil"/>
        </w:tblBorders>
        <w:tblCellMar>
          <w:top w:w="120" w:type="dxa"/>
          <w:left w:w="140" w:type="dxa"/>
          <w:bottom w:w="120" w:type="dxa"/>
          <w:right w:w="140" w:type="dxa"/>
        </w:tblCellMar>
      </w:tblPr>
      <w:tblGrid>
        <w:gridCol w:w="10080"/>
      </w:tblGrid>
      <w:tr>
        <w:tc>
          <w:tcPr>
            <w:tcW w:w="10080" w:type="dxa"/>
            <w:shd w:val="clear" w:color="auto" w:fill="EEF4FB"/>
          </w:tcPr>
          <w:p>
            <w:pPr>
              <w:jc w:val="left"/>
              <w:spacing w:before="0" w:after="40" w:line="276" w:lineRule="auto"/>
            </w:pPr>
            <w:r>
              <w:rPr>
                <w:rFonts w:ascii="Arial" w:hAnsi="Arial"/>
                <w:sz w:val="22"/>
                <w:szCs w:val="22"/>
                <w:color w:val="222222"/>
              </w:rPr>
              <w:t xml:space="preserve">Service pricing should run in two modes:</w:t>
            </w:r>
          </w:p>
          <w:p>
            <w:pPr>
              <w:jc w:val="left"/>
              <w:spacing w:before="0" w:after="40" w:line="276" w:lineRule="auto"/>
            </w:pPr>
            <w:r>
              <w:rPr>
                <w:rFonts w:ascii="Arial" w:hAnsi="Arial"/>
                <w:sz w:val="22"/>
                <w:szCs w:val="22"/>
                <w:color w:val="222222"/>
              </w:rPr>
              <w:t xml:space="preserve">- Flat-rate pricing when the task matches a known service task.</w:t>
            </w:r>
          </w:p>
          <w:p>
            <w:pPr>
              <w:jc w:val="left"/>
              <w:spacing w:before="0" w:after="40" w:line="276" w:lineRule="auto"/>
            </w:pPr>
            <w:r>
              <w:rPr>
                <w:rFonts w:ascii="Arial" w:hAnsi="Arial"/>
                <w:sz w:val="22"/>
                <w:szCs w:val="22"/>
                <w:color w:val="222222"/>
              </w:rPr>
              <w:t xml:space="preserve">- Cost-plus pricing when no flat-rate task exists or when extra parts are outside the flat-rate scope.</w:t>
            </w:r>
          </w:p>
          <w:p>
            <w:pPr>
              <w:jc w:val="left"/>
              <w:spacing w:before="0" w:after="40" w:line="276" w:lineRule="auto"/>
            </w:pPr>
            <w:r>
              <w:rPr>
                <w:rFonts w:ascii="Arial" w:hAnsi="Arial"/>
                <w:sz w:val="22"/>
                <w:szCs w:val="22"/>
                <w:color w:val="222222"/>
              </w:rPr>
              <w:t xml:space="preserve">Flat-rate pricing should be used for repeatable service tasks where customers are effectively buying an outcome rather than simply buying parts.</w:t>
            </w:r>
          </w:p>
          <w:p>
            <w:pPr>
              <w:jc w:val="left"/>
              <w:spacing w:before="0" w:after="40" w:line="276" w:lineRule="auto"/>
            </w:pPr>
            <w:r>
              <w:rPr>
                <w:rFonts w:ascii="Arial" w:hAnsi="Arial"/>
                <w:sz w:val="22"/>
                <w:szCs w:val="22"/>
                <w:color w:val="222222"/>
              </w:rPr>
              <w:t xml:space="preserve">If there is no valid flat-rate task, TradeFlow should price the work by applying centralized markup to matched supplier cost.</w:t>
            </w:r>
          </w:p>
          <w:p>
            <w:pPr>
              <w:jc w:val="left"/>
              <w:spacing w:before="0" w:after="40" w:line="276" w:lineRule="auto"/>
            </w:pPr>
            <w:r>
              <w:rPr>
                <w:rFonts w:ascii="Arial" w:hAnsi="Arial"/>
                <w:sz w:val="22"/>
                <w:szCs w:val="22"/>
                <w:color w:val="222222"/>
              </w:rPr>
              <w:t xml:space="preserve">Real service calls often combine multiple components, including diagnostics, repair tasks, additional parts, after-hours charges, and other adders.</w:t>
            </w:r>
          </w:p>
        </w:tc>
      </w:tr>
    </w:tbl>
    <w:p>
      <w:pPr>
        <w:spacing w:after="120"/>
      </w:pPr>
    </w:p>
    <w:p>
      <w:pPr>
        <w:jc w:val="left"/>
        <w:spacing w:before="60" w:after="80" w:line="276" w:lineRule="auto"/>
      </w:pPr>
      <w:r>
        <w:rPr>
          <w:rFonts w:ascii="Arial" w:hAnsi="Arial"/>
          <w:sz w:val="24"/>
          <w:szCs w:val="24"/>
          <w:color w:val="163A63"/>
          <w:b/>
        </w:rPr>
        <w:t xml:space="preserve">Change-Out and Install Pricing Policy</w:t>
      </w:r>
    </w:p>
    <w:p>
      <w:pPr>
        <w:jc w:val="left"/>
        <w:spacing w:before="0" w:after="40" w:line="276" w:lineRule="auto"/>
      </w:pPr>
      <w:r>
        <w:rPr>
          <w:rFonts w:ascii="Arial" w:hAnsi="Arial"/>
          <w:sz w:val="22"/>
          <w:szCs w:val="22"/>
          <w:color w:val="222222"/>
        </w:rPr>
        <w:t xml:space="preserve">Larger install and change-out work should not be priced with a simple flat markup on parts.</w:t>
      </w:r>
    </w:p>
    <w:p>
      <w:pPr>
        <w:jc w:val="left"/>
        <w:spacing w:before="0" w:after="40" w:line="276" w:lineRule="auto"/>
      </w:pPr>
      <w:r>
        <w:rPr>
          <w:rFonts w:ascii="Arial" w:hAnsi="Arial"/>
          <w:sz w:val="22"/>
          <w:szCs w:val="22"/>
          <w:color w:val="222222"/>
        </w:rPr>
        <w:t xml:space="preserve">Those jobs should be built from cost components first, then grossed up to the desired margin.</w:t>
      </w:r>
    </w:p>
    <w:p>
      <w:pPr>
        <w:jc w:val="left"/>
        <w:spacing w:before="0" w:after="40" w:line="276" w:lineRule="auto"/>
      </w:pPr>
      <w:r>
        <w:rPr>
          <w:rFonts w:ascii="Arial" w:hAnsi="Arial"/>
          <w:sz w:val="22"/>
          <w:szCs w:val="22"/>
          <w:color w:val="222222"/>
        </w:rPr>
        <w:t xml:space="preserve">Standard component model: Equipment Cost, Equipment Sell, Labor Cost, Subcontractor Cost, Accessories Cost, Accessories Sell, Overhead Per Job, Pre-Margin Subtotal, Final Sell Price, and Implied Margin.</w:t>
      </w:r>
    </w:p>
    <w:p>
      <w:pPr>
        <w:jc w:val="left"/>
        <w:spacing w:before="0" w:after="40" w:line="276" w:lineRule="auto"/>
      </w:pPr>
      <w:r>
        <w:rPr>
          <w:rFonts w:ascii="Arial" w:hAnsi="Arial"/>
          <w:sz w:val="22"/>
          <w:szCs w:val="22"/>
          <w:color w:val="222222"/>
        </w:rPr>
        <w:t xml:space="preserve">Final pricing formula: Final Price = Pre-Margin Subtotal / (1 - Target Margin)</w:t>
      </w:r>
    </w:p>
    <w:p>
      <w:pPr>
        <w:jc w:val="left"/>
        <w:spacing w:before="60" w:after="80" w:line="276" w:lineRule="auto"/>
      </w:pPr>
      <w:r>
        <w:rPr>
          <w:rFonts w:ascii="Arial" w:hAnsi="Arial"/>
          <w:sz w:val="24"/>
          <w:szCs w:val="24"/>
          <w:color w:val="163A63"/>
          <w:b/>
        </w:rPr>
        <w:t xml:space="preserve">Good / Better / Best Policy</w:t>
      </w:r>
    </w:p>
    <w:p>
      <w:pPr>
        <w:jc w:val="left"/>
        <w:spacing w:before="0" w:after="40" w:line="276" w:lineRule="auto"/>
      </w:pPr>
      <w:r>
        <w:rPr>
          <w:rFonts w:ascii="Arial" w:hAnsi="Arial"/>
          <w:sz w:val="22"/>
          <w:szCs w:val="22"/>
          <w:color w:val="222222"/>
        </w:rPr>
        <w:t xml:space="preserve">Good, Better, and Best should not be treated as a universal multiplier across every workflow.</w:t>
      </w:r>
    </w:p>
    <w:p>
      <w:pPr>
        <w:jc w:val="left"/>
        <w:spacing w:before="0" w:after="40" w:line="276" w:lineRule="auto"/>
      </w:pPr>
      <w:r>
        <w:rPr>
          <w:rFonts w:ascii="Arial" w:hAnsi="Arial"/>
          <w:sz w:val="22"/>
          <w:szCs w:val="22"/>
          <w:color w:val="222222"/>
        </w:rPr>
        <w:t xml:space="preserve">For flat-rate service tasks, each tier should be stored as its own actual price.</w:t>
      </w:r>
    </w:p>
    <w:p>
      <w:pPr>
        <w:jc w:val="left"/>
        <w:spacing w:before="0" w:after="40" w:line="276" w:lineRule="auto"/>
      </w:pPr>
      <w:r>
        <w:rPr>
          <w:rFonts w:ascii="Arial" w:hAnsi="Arial"/>
          <w:sz w:val="22"/>
          <w:szCs w:val="22"/>
          <w:color w:val="222222"/>
        </w:rPr>
        <w:t xml:space="preserve">For equipment and change-out work, tiers should normally represent different equipment choices, scope packages, or warranty levels.</w:t>
      </w:r>
    </w:p>
    <w:p>
      <w:pPr>
        <w:jc w:val="left"/>
        <w:spacing w:before="0" w:after="40" w:line="276" w:lineRule="auto"/>
      </w:pPr>
      <w:r>
        <w:rPr>
          <w:rFonts w:ascii="Arial" w:hAnsi="Arial"/>
          <w:sz w:val="22"/>
          <w:szCs w:val="22"/>
          <w:color w:val="222222"/>
        </w:rPr>
        <w:t xml:space="preserve">The tier should change the business offering, not just cosmetically inflate a number.</w:t>
      </w:r>
    </w:p>
    <w:p>
      <w:pPr>
        <w:jc w:val="left"/>
        <w:spacing w:before="60" w:after="80" w:line="276" w:lineRule="auto"/>
      </w:pPr>
      <w:r>
        <w:rPr>
          <w:rFonts w:ascii="Arial" w:hAnsi="Arial"/>
          <w:sz w:val="24"/>
          <w:szCs w:val="24"/>
          <w:color w:val="163A63"/>
          <w:b/>
        </w:rPr>
        <w:t xml:space="preserve">Historical Pricing and Repricing</w:t>
      </w:r>
    </w:p>
    <w:p>
      <w:pPr>
        <w:jc w:val="left"/>
        <w:spacing w:before="0" w:after="140" w:line="276" w:lineRule="auto"/>
      </w:pPr>
      <w:r>
        <w:rPr>
          <w:rFonts w:ascii="Arial" w:hAnsi="Arial"/>
          <w:sz w:val="22"/>
          <w:szCs w:val="22"/>
          <w:color w:val="222222"/>
        </w:rPr>
        <w:t xml:space="preserve">TradeFlow should preserve existing jobs as historical pricing snapshots. If labor, markup, or supplier cost changes later, previously priced jobs should remain unchanged unless an authorized user explicitly triggers a repricing action.</w:t>
      </w:r>
    </w:p>
    <w:p>
      <w:pPr>
        <w:jc w:val="left"/>
        <w:spacing w:before="60" w:after="80" w:line="276" w:lineRule="auto"/>
      </w:pPr>
      <w:r>
        <w:rPr>
          <w:rFonts w:ascii="Arial" w:hAnsi="Arial"/>
          <w:sz w:val="24"/>
          <w:szCs w:val="24"/>
          <w:color w:val="163A63"/>
          <w:b/>
        </w:rPr>
        <w:t xml:space="preserve">Management Guidance</w:t>
      </w:r>
    </w:p>
    <w:p>
      <w:pPr>
        <w:jc w:val="left"/>
        <w:spacing w:before="0" w:after="40" w:line="276" w:lineRule="auto"/>
      </w:pPr>
      <w:r>
        <w:rPr>
          <w:rFonts w:ascii="Arial" w:hAnsi="Arial"/>
          <w:sz w:val="22"/>
          <w:szCs w:val="22"/>
          <w:color w:val="222222"/>
        </w:rPr>
        <w:t xml:space="preserve">- Review labor rate, overhead, and target margin on a regular schedule.</w:t>
      </w:r>
    </w:p>
    <w:p>
      <w:pPr>
        <w:jc w:val="left"/>
        <w:spacing w:before="0" w:after="40" w:line="276" w:lineRule="auto"/>
      </w:pPr>
      <w:r>
        <w:rPr>
          <w:rFonts w:ascii="Arial" w:hAnsi="Arial"/>
          <w:sz w:val="22"/>
          <w:szCs w:val="22"/>
          <w:color w:val="222222"/>
        </w:rPr>
        <w:t xml:space="preserve">- Prefer category-specific pricing over default fallback pricing whenever possible.</w:t>
      </w:r>
    </w:p>
    <w:p>
      <w:pPr>
        <w:jc w:val="left"/>
        <w:spacing w:before="0" w:after="40" w:line="276" w:lineRule="auto"/>
      </w:pPr>
      <w:r>
        <w:rPr>
          <w:rFonts w:ascii="Arial" w:hAnsi="Arial"/>
          <w:sz w:val="22"/>
          <w:szCs w:val="22"/>
          <w:color w:val="222222"/>
        </w:rPr>
        <w:t xml:space="preserve">- Review warnings when the system falls back to default pricing or lacks a strong category match.</w:t>
      </w:r>
    </w:p>
    <w:p>
      <w:pPr>
        <w:jc w:val="left"/>
        <w:spacing w:before="0" w:after="40" w:line="276" w:lineRule="auto"/>
      </w:pPr>
      <w:r>
        <w:rPr>
          <w:rFonts w:ascii="Arial" w:hAnsi="Arial"/>
          <w:sz w:val="22"/>
          <w:szCs w:val="22"/>
          <w:color w:val="222222"/>
        </w:rPr>
        <w:t xml:space="preserve">- Use flat-rate pricing where the business is selling a standard outcome.</w:t>
      </w:r>
    </w:p>
    <w:p>
      <w:pPr>
        <w:jc w:val="left"/>
        <w:spacing w:before="0" w:after="40" w:line="276" w:lineRule="auto"/>
      </w:pPr>
      <w:r>
        <w:rPr>
          <w:rFonts w:ascii="Arial" w:hAnsi="Arial"/>
          <w:sz w:val="22"/>
          <w:szCs w:val="22"/>
          <w:color w:val="222222"/>
        </w:rPr>
        <w:t xml:space="preserve">- Use cost-plus with margin protection for larger installs, equipment packages, and variable-scope work.</w:t>
      </w:r>
    </w:p>
    <w:p>
      <w:pPr>
        <w:jc w:val="left"/>
        <w:spacing w:before="60" w:after="80" w:line="276" w:lineRule="auto"/>
      </w:pPr>
      <w:r>
        <w:rPr>
          <w:rFonts w:ascii="Arial" w:hAnsi="Arial"/>
          <w:sz w:val="24"/>
          <w:szCs w:val="24"/>
          <w:color w:val="163A63"/>
          <w:b/>
        </w:rPr>
        <w:t xml:space="preserve">Executive Summary</w:t>
      </w:r>
    </w:p>
    <w:tbl>
      <w:tblPr>
        <w:tblW w:w="0" w:type="auto"/>
        <w:tblLayout w:type="fixed"/>
        <w:tblBorders>
          <w:top w:val="single" w:sz="10" w:space="0" w:color="D0D7E2"/>
          <w:left w:val="single" w:sz="10" w:space="0" w:color="D0D7E2"/>
          <w:bottom w:val="single" w:sz="10" w:space="0" w:color="D0D7E2"/>
          <w:right w:val="single" w:sz="10" w:space="0" w:color="D0D7E2"/>
          <w:insideH w:val="nil"/>
          <w:insideV w:val="nil"/>
        </w:tblBorders>
        <w:tblCellMar>
          <w:top w:w="120" w:type="dxa"/>
          <w:left w:w="140" w:type="dxa"/>
          <w:bottom w:w="120" w:type="dxa"/>
          <w:right w:w="140" w:type="dxa"/>
        </w:tblCellMar>
      </w:tblPr>
      <w:tblGrid>
        <w:gridCol w:w="10080"/>
      </w:tblGrid>
      <w:tr>
        <w:tc>
          <w:tcPr>
            <w:tcW w:w="10080" w:type="dxa"/>
            <w:shd w:val="clear" w:color="auto" w:fill="EAF2FB"/>
          </w:tcPr>
          <w:p>
            <w:pPr>
              <w:jc w:val="left"/>
              <w:spacing w:before="0" w:after="60" w:line="276" w:lineRule="auto"/>
            </w:pPr>
            <w:r>
              <w:rPr>
                <w:rFonts w:ascii="Arial" w:hAnsi="Arial"/>
                <w:sz w:val="22"/>
                <w:szCs w:val="22"/>
                <w:color w:val="222222"/>
              </w:rPr>
              <w:t xml:space="preserve">TradeFlow pricing going forward should be understood as a centralized cost-to-sell system for service and install work.</w:t>
            </w:r>
          </w:p>
          <w:p>
            <w:pPr>
              <w:jc w:val="left"/>
              <w:spacing w:before="0" w:after="60" w:line="276" w:lineRule="auto"/>
            </w:pPr>
            <w:r>
              <w:rPr>
                <w:rFonts w:ascii="Arial" w:hAnsi="Arial"/>
                <w:sz w:val="22"/>
                <w:szCs w:val="22"/>
                <w:color w:val="222222"/>
              </w:rPr>
              <w:t xml:space="preserve">Supplier cost provides the baseline. Category markup, price-tier fallback, flat-rate task pricing, and target-margin install pricing determine the final selling price.</w:t>
            </w:r>
          </w:p>
          <w:p>
            <w:pPr>
              <w:jc w:val="left"/>
              <w:spacing w:before="0" w:after="0" w:line="276" w:lineRule="auto"/>
            </w:pPr>
            <w:r>
              <w:rPr>
                <w:rFonts w:ascii="Arial" w:hAnsi="Arial"/>
                <w:sz w:val="22"/>
                <w:szCs w:val="22"/>
                <w:color w:val="222222"/>
              </w:rPr>
              <w:t xml:space="preserve">The system is intended to protect margin, standardize pricing behavior, preserve history, and make pricing easier to explain across the business.</w:t>
            </w:r>
          </w:p>
        </w:tc>
      </w:tr>
    </w:tbl>
    <w:p>
      <w:pPr>
        <w:spacing w:after="120"/>
      </w:pPr>
    </w:p>
    <w:sectPr>
      <w:pgSz w:w="12240" w:h="15840"/>
      <w:pgMar w:top="1080" w:right="1080" w:bottom="1080" w:left="1080" w:header="720" w:footer="720" w:gutter="0"/>
    </w:sectPr>
  </w:body>
</w:document>
</file>